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tblLook w:val="01E0" w:firstRow="1" w:lastRow="1" w:firstColumn="1" w:lastColumn="1" w:noHBand="0" w:noVBand="0"/>
      </w:tblPr>
      <w:tblGrid>
        <w:gridCol w:w="743"/>
        <w:gridCol w:w="2506"/>
        <w:gridCol w:w="5571"/>
      </w:tblGrid>
      <w:tr w:rsidR="00AC4A32" w:rsidTr="00256061">
        <w:tc>
          <w:tcPr>
            <w:tcW w:w="743" w:type="dxa"/>
          </w:tcPr>
          <w:p w:rsidR="00AC4A32" w:rsidRDefault="00AC4A32" w:rsidP="00256061">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AC4A32" w:rsidRDefault="00AC4A32" w:rsidP="00256061">
            <w:pPr>
              <w:rPr>
                <w:rFonts w:ascii="Arial" w:hAnsi="Arial"/>
                <w:b/>
                <w:bCs/>
                <w:rtl/>
              </w:rPr>
            </w:pPr>
            <w:r>
              <w:rPr>
                <w:rFonts w:ascii="Arial" w:hAnsi="Arial" w:hint="cs"/>
                <w:b/>
                <w:bCs/>
                <w:rtl/>
              </w:rPr>
              <w:t>כב' ה</w:t>
            </w:r>
            <w:sdt>
              <w:sdtPr>
                <w:rPr>
                  <w:rtl/>
                </w:rPr>
                <w:alias w:val="1574"/>
                <w:tag w:val="1574"/>
                <w:id w:val="157807208"/>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137115570"/>
                <w:text w:multiLine="1"/>
              </w:sdtPr>
              <w:sdtEndPr/>
              <w:sdtContent>
                <w:r>
                  <w:rPr>
                    <w:rFonts w:ascii="Arial" w:hAnsi="Arial"/>
                    <w:b/>
                    <w:bCs/>
                    <w:rtl/>
                  </w:rPr>
                  <w:t>פליקס גורודצקי</w:t>
                </w:r>
              </w:sdtContent>
            </w:sdt>
          </w:p>
          <w:p w:rsidR="00AC4A32" w:rsidRDefault="00AC4A32" w:rsidP="00256061">
            <w:pPr>
              <w:rPr>
                <w:rFonts w:ascii="Arial" w:hAnsi="Arial" w:cs="FrankRuehl"/>
                <w:sz w:val="28"/>
                <w:szCs w:val="28"/>
                <w:highlight w:val="yellow"/>
              </w:rPr>
            </w:pPr>
          </w:p>
        </w:tc>
      </w:tr>
      <w:tr w:rsidR="00AC4A32" w:rsidTr="00256061">
        <w:tc>
          <w:tcPr>
            <w:tcW w:w="3249" w:type="dxa"/>
            <w:gridSpan w:val="2"/>
          </w:tcPr>
          <w:p w:rsidR="00AC4A32" w:rsidRDefault="00AC4A32" w:rsidP="00256061">
            <w:pPr>
              <w:bidi w:val="0"/>
              <w:jc w:val="right"/>
              <w:rPr>
                <w:rFonts w:ascii="Arial" w:hAnsi="Arial"/>
                <w:b/>
                <w:bCs/>
                <w:noProof w:val="0"/>
                <w:sz w:val="26"/>
                <w:szCs w:val="26"/>
              </w:rPr>
            </w:pPr>
          </w:p>
          <w:sdt>
            <w:sdtPr>
              <w:alias w:val="1180"/>
              <w:tag w:val="1180"/>
              <w:id w:val="2064520869"/>
              <w:text w:multiLine="1"/>
            </w:sdtPr>
            <w:sdtEndPr/>
            <w:sdtContent>
              <w:p w:rsidR="00AC4A32" w:rsidRDefault="00AC4A32" w:rsidP="00256061">
                <w:pPr>
                  <w:bidi w:val="0"/>
                  <w:jc w:val="right"/>
                  <w:rPr>
                    <w:rFonts w:ascii="Arial" w:hAnsi="Arial"/>
                    <w:b/>
                    <w:bCs/>
                    <w:noProof w:val="0"/>
                    <w:sz w:val="26"/>
                    <w:szCs w:val="26"/>
                    <w:rtl/>
                  </w:rPr>
                </w:pPr>
                <w:r>
                  <w:rPr>
                    <w:rFonts w:ascii="Arial" w:hAnsi="Arial" w:hint="cs"/>
                    <w:b/>
                    <w:bCs/>
                    <w:noProof w:val="0"/>
                    <w:sz w:val="26"/>
                    <w:szCs w:val="26"/>
                    <w:rtl/>
                  </w:rPr>
                  <w:t>מבקש</w:t>
                </w:r>
              </w:p>
            </w:sdtContent>
          </w:sdt>
        </w:tc>
        <w:tc>
          <w:tcPr>
            <w:tcW w:w="5571" w:type="dxa"/>
          </w:tcPr>
          <w:p w:rsidR="00AC4A32" w:rsidRDefault="00AC4A32" w:rsidP="00256061">
            <w:pPr>
              <w:rPr>
                <w:rFonts w:ascii="Arial" w:hAnsi="Arial"/>
                <w:b/>
                <w:bCs/>
                <w:noProof w:val="0"/>
                <w:sz w:val="26"/>
                <w:szCs w:val="26"/>
              </w:rPr>
            </w:pPr>
          </w:p>
          <w:p w:rsidR="00AC4A32" w:rsidRDefault="00526E47" w:rsidP="00FA3356">
            <w:pPr>
              <w:rPr>
                <w:b/>
                <w:bCs/>
                <w:noProof w:val="0"/>
                <w:sz w:val="26"/>
                <w:szCs w:val="26"/>
              </w:rPr>
            </w:pPr>
            <w:sdt>
              <w:sdtPr>
                <w:rPr>
                  <w:rtl/>
                </w:rPr>
                <w:alias w:val="1486"/>
                <w:tag w:val="1486"/>
                <w:id w:val="-1219885928"/>
                <w:text w:multiLine="1"/>
              </w:sdtPr>
              <w:sdtEndPr/>
              <w:sdtContent>
                <w:r w:rsidR="00FA3356">
                  <w:rPr>
                    <w:rFonts w:ascii="Arial" w:hAnsi="Arial" w:hint="cs"/>
                    <w:b/>
                    <w:bCs/>
                    <w:noProof w:val="0"/>
                    <w:sz w:val="26"/>
                    <w:szCs w:val="26"/>
                    <w:rtl/>
                  </w:rPr>
                  <w:t>פלוני</w:t>
                </w:r>
              </w:sdtContent>
            </w:sdt>
            <w:r w:rsidR="00AC4A32">
              <w:rPr>
                <w:rFonts w:ascii="Arial" w:hAnsi="Arial" w:hint="cs"/>
                <w:b/>
                <w:bCs/>
                <w:noProof w:val="0"/>
                <w:sz w:val="26"/>
                <w:szCs w:val="26"/>
                <w:rtl/>
              </w:rPr>
              <w:t xml:space="preserve"> </w:t>
            </w:r>
            <w:sdt>
              <w:sdtPr>
                <w:rPr>
                  <w:rtl/>
                </w:rPr>
                <w:alias w:val="2317"/>
                <w:tag w:val="2317"/>
                <w:id w:val="-2133776470"/>
                <w:showingPlcHdr/>
                <w:text w:multiLine="1"/>
              </w:sdtPr>
              <w:sdtEndPr/>
              <w:sdtContent>
                <w:r w:rsidR="00FA3356">
                  <w:rPr>
                    <w:rtl/>
                  </w:rPr>
                  <w:t xml:space="preserve">     </w:t>
                </w:r>
              </w:sdtContent>
            </w:sdt>
            <w:r w:rsidR="00AC4A32">
              <w:rPr>
                <w:rFonts w:ascii="Arial" w:hAnsi="Arial" w:hint="cs"/>
                <w:b/>
                <w:bCs/>
                <w:noProof w:val="0"/>
                <w:sz w:val="26"/>
                <w:szCs w:val="26"/>
                <w:rtl/>
              </w:rPr>
              <w:t xml:space="preserve"> </w:t>
            </w:r>
            <w:sdt>
              <w:sdtPr>
                <w:rPr>
                  <w:rtl/>
                </w:rPr>
                <w:alias w:val="2318"/>
                <w:tag w:val="2318"/>
                <w:id w:val="-282733546"/>
                <w:showingPlcHdr/>
                <w:text w:multiLine="1"/>
              </w:sdtPr>
              <w:sdtEndPr/>
              <w:sdtContent>
                <w:r w:rsidR="00FA3356">
                  <w:rPr>
                    <w:rtl/>
                  </w:rPr>
                  <w:t xml:space="preserve">     </w:t>
                </w:r>
              </w:sdtContent>
            </w:sdt>
          </w:p>
        </w:tc>
      </w:tr>
      <w:tr w:rsidR="00AC4A32" w:rsidTr="00256061">
        <w:tc>
          <w:tcPr>
            <w:tcW w:w="8820" w:type="dxa"/>
            <w:gridSpan w:val="3"/>
          </w:tcPr>
          <w:p w:rsidR="00AC4A32" w:rsidRDefault="00AC4A32" w:rsidP="00256061">
            <w:pPr>
              <w:rPr>
                <w:rFonts w:ascii="Arial" w:hAnsi="Arial"/>
                <w:b/>
                <w:bCs/>
                <w:noProof w:val="0"/>
                <w:sz w:val="26"/>
                <w:szCs w:val="26"/>
                <w:rtl/>
              </w:rPr>
            </w:pPr>
          </w:p>
          <w:p w:rsidR="00AC4A32" w:rsidRDefault="00AC4A32" w:rsidP="00256061">
            <w:pPr>
              <w:jc w:val="center"/>
              <w:rPr>
                <w:rFonts w:ascii="Arial" w:hAnsi="Arial"/>
                <w:b/>
                <w:bCs/>
                <w:noProof w:val="0"/>
                <w:sz w:val="26"/>
                <w:szCs w:val="26"/>
                <w:rtl/>
              </w:rPr>
            </w:pPr>
            <w:r>
              <w:rPr>
                <w:rFonts w:ascii="Arial" w:hAnsi="Arial"/>
                <w:b/>
                <w:bCs/>
                <w:noProof w:val="0"/>
                <w:sz w:val="26"/>
                <w:szCs w:val="26"/>
                <w:rtl/>
              </w:rPr>
              <w:t>נגד</w:t>
            </w:r>
          </w:p>
          <w:p w:rsidR="00AC4A32" w:rsidRDefault="00AC4A32" w:rsidP="00256061">
            <w:pPr>
              <w:rPr>
                <w:rFonts w:ascii="Arial" w:hAnsi="Arial"/>
                <w:b/>
                <w:bCs/>
                <w:noProof w:val="0"/>
                <w:sz w:val="26"/>
                <w:szCs w:val="26"/>
              </w:rPr>
            </w:pPr>
          </w:p>
        </w:tc>
      </w:tr>
      <w:tr w:rsidR="00AC4A32" w:rsidTr="00256061">
        <w:tc>
          <w:tcPr>
            <w:tcW w:w="3249" w:type="dxa"/>
            <w:gridSpan w:val="2"/>
          </w:tcPr>
          <w:p w:rsidR="00AC4A32" w:rsidRDefault="00AC4A32" w:rsidP="00256061">
            <w:pPr>
              <w:rPr>
                <w:rFonts w:ascii="Arial" w:hAnsi="Arial"/>
                <w:b/>
                <w:bCs/>
                <w:noProof w:val="0"/>
                <w:sz w:val="26"/>
                <w:szCs w:val="26"/>
                <w:rtl/>
              </w:rPr>
            </w:pPr>
          </w:p>
          <w:p w:rsidR="00AC4A32" w:rsidRDefault="00526E47" w:rsidP="00DC050E">
            <w:pPr>
              <w:rPr>
                <w:rFonts w:ascii="Arial" w:hAnsi="Arial"/>
                <w:b/>
                <w:bCs/>
                <w:noProof w:val="0"/>
                <w:sz w:val="26"/>
                <w:szCs w:val="26"/>
              </w:rPr>
            </w:pPr>
            <w:sdt>
              <w:sdtPr>
                <w:rPr>
                  <w:rtl/>
                </w:rPr>
                <w:alias w:val="1184"/>
                <w:tag w:val="1184"/>
                <w:id w:val="385841288"/>
                <w:text w:multiLine="1"/>
              </w:sdtPr>
              <w:sdtEndPr/>
              <w:sdtContent>
                <w:r w:rsidR="00DC050E">
                  <w:rPr>
                    <w:rFonts w:ascii="Arial" w:hAnsi="Arial" w:hint="cs"/>
                    <w:b/>
                    <w:bCs/>
                    <w:noProof w:val="0"/>
                    <w:sz w:val="26"/>
                    <w:szCs w:val="26"/>
                    <w:rtl/>
                  </w:rPr>
                  <w:t>משיבה</w:t>
                </w:r>
              </w:sdtContent>
            </w:sdt>
          </w:p>
        </w:tc>
        <w:tc>
          <w:tcPr>
            <w:tcW w:w="5571" w:type="dxa"/>
          </w:tcPr>
          <w:p w:rsidR="00AC4A32" w:rsidRDefault="00AC4A32" w:rsidP="00256061">
            <w:pPr>
              <w:rPr>
                <w:rFonts w:ascii="Arial" w:hAnsi="Arial"/>
                <w:b/>
                <w:bCs/>
                <w:noProof w:val="0"/>
                <w:sz w:val="26"/>
                <w:szCs w:val="26"/>
                <w:rtl/>
              </w:rPr>
            </w:pPr>
          </w:p>
          <w:p w:rsidR="00AC4A32" w:rsidRDefault="00526E47" w:rsidP="00256061">
            <w:pPr>
              <w:rPr>
                <w:b/>
                <w:bCs/>
                <w:noProof w:val="0"/>
                <w:sz w:val="26"/>
                <w:szCs w:val="26"/>
                <w:rtl/>
              </w:rPr>
            </w:pPr>
            <w:sdt>
              <w:sdtPr>
                <w:rPr>
                  <w:rtl/>
                </w:rPr>
                <w:alias w:val="1571"/>
                <w:tag w:val="1571"/>
                <w:id w:val="1119420712"/>
                <w:text w:multiLine="1"/>
              </w:sdtPr>
              <w:sdtEndPr/>
              <w:sdtContent>
                <w:r w:rsidR="00AC4A32">
                  <w:rPr>
                    <w:rFonts w:ascii="Arial" w:hAnsi="Arial" w:hint="cs"/>
                    <w:b/>
                    <w:bCs/>
                    <w:noProof w:val="0"/>
                    <w:sz w:val="26"/>
                    <w:szCs w:val="26"/>
                    <w:rtl/>
                  </w:rPr>
                  <w:t xml:space="preserve">מנהלת הגמלאות </w:t>
                </w:r>
              </w:sdtContent>
            </w:sdt>
          </w:p>
        </w:tc>
      </w:tr>
      <w:tr w:rsidR="00AC4A32" w:rsidTr="00256061">
        <w:tc>
          <w:tcPr>
            <w:tcW w:w="8820" w:type="dxa"/>
            <w:gridSpan w:val="3"/>
          </w:tcPr>
          <w:p w:rsidR="00AC4A32" w:rsidRDefault="00AC4A32" w:rsidP="00256061">
            <w:pPr>
              <w:rPr>
                <w:rFonts w:ascii="Arial" w:hAnsi="Arial"/>
                <w:b/>
                <w:bCs/>
                <w:noProof w:val="0"/>
                <w:sz w:val="26"/>
                <w:szCs w:val="26"/>
                <w:rtl/>
              </w:rPr>
            </w:pPr>
          </w:p>
        </w:tc>
      </w:tr>
    </w:tbl>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AC4A32" w:rsidRPr="009D4C91" w:rsidTr="00256061">
        <w:trPr>
          <w:jc w:val="center"/>
        </w:trPr>
        <w:tc>
          <w:tcPr>
            <w:tcW w:w="8820" w:type="dxa"/>
          </w:tcPr>
          <w:p w:rsidR="00AC4A32" w:rsidRPr="009D4C91" w:rsidRDefault="00AC4A32" w:rsidP="00256061">
            <w:pPr>
              <w:bidi w:val="0"/>
              <w:jc w:val="center"/>
              <w:rPr>
                <w:rFonts w:ascii="Arial" w:hAnsi="Arial"/>
                <w:b/>
                <w:bCs/>
                <w:i/>
                <w:iCs/>
                <w:noProof w:val="0"/>
                <w:sz w:val="36"/>
                <w:szCs w:val="36"/>
              </w:rPr>
            </w:pPr>
          </w:p>
          <w:p w:rsidR="00AC4A32" w:rsidRPr="009D4C91" w:rsidRDefault="00AC4A32" w:rsidP="00256061">
            <w:pPr>
              <w:bidi w:val="0"/>
              <w:jc w:val="center"/>
              <w:rPr>
                <w:rFonts w:ascii="Arial" w:hAnsi="Arial"/>
                <w:b/>
                <w:bCs/>
                <w:i/>
                <w:iCs/>
                <w:noProof w:val="0"/>
                <w:sz w:val="36"/>
                <w:szCs w:val="36"/>
                <w:u w:val="single"/>
              </w:rPr>
            </w:pPr>
            <w:r w:rsidRPr="009D4C91">
              <w:rPr>
                <w:rFonts w:ascii="Arial" w:hAnsi="Arial" w:hint="cs"/>
                <w:b/>
                <w:bCs/>
                <w:i/>
                <w:iCs/>
                <w:noProof w:val="0"/>
                <w:sz w:val="36"/>
                <w:szCs w:val="36"/>
                <w:u w:val="single"/>
                <w:rtl/>
              </w:rPr>
              <w:t>החלטה</w:t>
            </w:r>
          </w:p>
        </w:tc>
      </w:tr>
    </w:tbl>
    <w:p w:rsidR="00AC4A32" w:rsidRDefault="00AC4A32" w:rsidP="00AC4A32">
      <w:pPr>
        <w:spacing w:line="360" w:lineRule="auto"/>
        <w:jc w:val="both"/>
        <w:rPr>
          <w:rtl/>
        </w:rPr>
      </w:pPr>
    </w:p>
    <w:p w:rsidR="00AC4A32" w:rsidRDefault="00AC4A32" w:rsidP="00AC4A32">
      <w:pPr>
        <w:spacing w:line="360" w:lineRule="auto"/>
        <w:jc w:val="both"/>
        <w:rPr>
          <w:noProof w:val="0"/>
        </w:rPr>
      </w:pPr>
      <w:r>
        <w:rPr>
          <w:rFonts w:hint="cs"/>
          <w:rtl/>
        </w:rPr>
        <w:t>לפניי בקשה לפי פקודת ביזיון בית המשפט.</w:t>
      </w:r>
    </w:p>
    <w:p w:rsidR="00AC4A32" w:rsidRDefault="00AC4A32" w:rsidP="00AC4A32">
      <w:pPr>
        <w:spacing w:line="360" w:lineRule="auto"/>
        <w:jc w:val="both"/>
        <w:rPr>
          <w:rtl/>
        </w:rPr>
      </w:pPr>
    </w:p>
    <w:p w:rsidR="00AC4A32" w:rsidRDefault="00AC4A32" w:rsidP="00AC4A32">
      <w:pPr>
        <w:spacing w:line="360" w:lineRule="auto"/>
        <w:jc w:val="both"/>
        <w:rPr>
          <w:b/>
          <w:bCs/>
          <w:u w:val="single"/>
          <w:rtl/>
        </w:rPr>
      </w:pPr>
      <w:r>
        <w:rPr>
          <w:rFonts w:hint="cs"/>
          <w:b/>
          <w:bCs/>
          <w:u w:val="single"/>
          <w:rtl/>
        </w:rPr>
        <w:t>רקע עובדתי רלוונטי</w:t>
      </w:r>
    </w:p>
    <w:p w:rsidR="00AC4A32" w:rsidRDefault="00AC4A32" w:rsidP="00AC4A32">
      <w:pPr>
        <w:spacing w:line="360" w:lineRule="auto"/>
        <w:jc w:val="both"/>
        <w:rPr>
          <w:rtl/>
        </w:rPr>
      </w:pPr>
    </w:p>
    <w:p w:rsidR="00AC4A32" w:rsidRDefault="00840D58" w:rsidP="004B460C">
      <w:pPr>
        <w:spacing w:line="360" w:lineRule="auto"/>
        <w:jc w:val="both"/>
        <w:rPr>
          <w:rtl/>
        </w:rPr>
      </w:pPr>
      <w:r>
        <w:rPr>
          <w:rFonts w:hint="cs"/>
          <w:rtl/>
        </w:rPr>
        <w:t>פלוני</w:t>
      </w:r>
      <w:r w:rsidR="00AC4A32">
        <w:rPr>
          <w:rFonts w:hint="cs"/>
          <w:rtl/>
        </w:rPr>
        <w:t xml:space="preserve"> (להלן: "</w:t>
      </w:r>
      <w:r w:rsidR="00AC4A32">
        <w:rPr>
          <w:rFonts w:hint="cs"/>
          <w:b/>
          <w:bCs/>
          <w:rtl/>
        </w:rPr>
        <w:t>המבקש</w:t>
      </w:r>
      <w:r w:rsidR="00AC4A32">
        <w:rPr>
          <w:rFonts w:hint="cs"/>
          <w:rtl/>
        </w:rPr>
        <w:t xml:space="preserve">") והגב' </w:t>
      </w:r>
      <w:r w:rsidR="004B460C">
        <w:rPr>
          <w:rFonts w:hint="cs"/>
          <w:rtl/>
        </w:rPr>
        <w:t>***</w:t>
      </w:r>
      <w:r w:rsidR="00AC4A32">
        <w:rPr>
          <w:rFonts w:hint="cs"/>
          <w:rtl/>
        </w:rPr>
        <w:t xml:space="preserve"> ז"ל (להלן: "</w:t>
      </w:r>
      <w:r w:rsidR="00AC4A32">
        <w:rPr>
          <w:rFonts w:hint="cs"/>
          <w:b/>
          <w:bCs/>
          <w:rtl/>
        </w:rPr>
        <w:t>המנוחה</w:t>
      </w:r>
      <w:r w:rsidR="00AC4A32">
        <w:rPr>
          <w:rFonts w:hint="cs"/>
          <w:rtl/>
        </w:rPr>
        <w:t xml:space="preserve">") נישאו זל"ז כדמו"י בשנת 1982. </w:t>
      </w:r>
    </w:p>
    <w:p w:rsidR="00AC4A32" w:rsidRDefault="00AC4A32" w:rsidP="00AC4A32">
      <w:pPr>
        <w:spacing w:line="360" w:lineRule="auto"/>
        <w:jc w:val="both"/>
        <w:rPr>
          <w:rtl/>
        </w:rPr>
      </w:pPr>
    </w:p>
    <w:p w:rsidR="00AC4A32" w:rsidRDefault="00AC4A32" w:rsidP="00AC4A32">
      <w:pPr>
        <w:spacing w:line="360" w:lineRule="auto"/>
        <w:jc w:val="both"/>
        <w:rPr>
          <w:rtl/>
        </w:rPr>
      </w:pPr>
      <w:r>
        <w:rPr>
          <w:rFonts w:hint="cs"/>
          <w:rtl/>
        </w:rPr>
        <w:t>ביום 9.11.16 הגישה המנוחה תביעה רכושית כנגד המבקש במסגרת הליך זה.</w:t>
      </w:r>
    </w:p>
    <w:p w:rsidR="00AC4A32" w:rsidRDefault="00AC4A32" w:rsidP="00AC4A32">
      <w:pPr>
        <w:spacing w:line="360" w:lineRule="auto"/>
        <w:jc w:val="both"/>
        <w:rPr>
          <w:rtl/>
        </w:rPr>
      </w:pPr>
    </w:p>
    <w:p w:rsidR="00AC4A32" w:rsidRDefault="00AC4A32" w:rsidP="004B460C">
      <w:pPr>
        <w:spacing w:line="360" w:lineRule="auto"/>
        <w:jc w:val="both"/>
        <w:rPr>
          <w:rtl/>
        </w:rPr>
      </w:pPr>
      <w:r>
        <w:rPr>
          <w:rFonts w:hint="cs"/>
          <w:rtl/>
        </w:rPr>
        <w:t xml:space="preserve">המנוחה נפטרה ביום </w:t>
      </w:r>
      <w:r w:rsidR="004B460C">
        <w:rPr>
          <w:rFonts w:hint="cs"/>
          <w:rtl/>
        </w:rPr>
        <w:t>00</w:t>
      </w:r>
      <w:r>
        <w:rPr>
          <w:rFonts w:hint="cs"/>
          <w:rtl/>
        </w:rPr>
        <w:t>.</w:t>
      </w:r>
      <w:r w:rsidR="004B460C">
        <w:rPr>
          <w:rFonts w:hint="cs"/>
          <w:rtl/>
        </w:rPr>
        <w:t>00</w:t>
      </w:r>
      <w:r>
        <w:rPr>
          <w:rFonts w:hint="cs"/>
          <w:rtl/>
        </w:rPr>
        <w:t>.17, ומנהל עיזבונה נכנס לנעליה כתובע בהליך זה.</w:t>
      </w:r>
    </w:p>
    <w:p w:rsidR="00AC4A32" w:rsidRDefault="00AC4A32" w:rsidP="00AC4A32">
      <w:pPr>
        <w:spacing w:line="360" w:lineRule="auto"/>
        <w:jc w:val="both"/>
        <w:rPr>
          <w:rtl/>
        </w:rPr>
      </w:pPr>
    </w:p>
    <w:p w:rsidR="00AC4A32" w:rsidRDefault="00AC4A32" w:rsidP="00AC4A32">
      <w:pPr>
        <w:spacing w:line="360" w:lineRule="auto"/>
        <w:jc w:val="both"/>
        <w:rPr>
          <w:rtl/>
        </w:rPr>
      </w:pPr>
      <w:r>
        <w:rPr>
          <w:rFonts w:hint="cs"/>
          <w:rtl/>
        </w:rPr>
        <w:t>בדיון שהתקיים ביום 6.2.22 אושר הסכם אגב גירושין (להלן: "</w:t>
      </w:r>
      <w:r>
        <w:rPr>
          <w:rFonts w:hint="cs"/>
          <w:b/>
          <w:bCs/>
          <w:rtl/>
        </w:rPr>
        <w:t>ההסכם</w:t>
      </w:r>
      <w:r>
        <w:rPr>
          <w:rFonts w:hint="cs"/>
          <w:rtl/>
        </w:rPr>
        <w:t>") וניתן לו תוקף של פסק דין (להלן: "</w:t>
      </w:r>
      <w:r>
        <w:rPr>
          <w:rFonts w:hint="cs"/>
          <w:b/>
          <w:bCs/>
          <w:rtl/>
        </w:rPr>
        <w:t>פסק הדין</w:t>
      </w:r>
      <w:r>
        <w:rPr>
          <w:rFonts w:hint="cs"/>
          <w:rtl/>
        </w:rPr>
        <w:t>").</w:t>
      </w:r>
    </w:p>
    <w:p w:rsidR="00AC4A32" w:rsidRDefault="00AC4A32" w:rsidP="00AC4A32">
      <w:pPr>
        <w:spacing w:line="360" w:lineRule="auto"/>
        <w:jc w:val="both"/>
        <w:rPr>
          <w:rtl/>
        </w:rPr>
      </w:pPr>
    </w:p>
    <w:p w:rsidR="00AC4A32" w:rsidRDefault="00AC4A32" w:rsidP="00AC4A32">
      <w:pPr>
        <w:spacing w:line="360" w:lineRule="auto"/>
        <w:jc w:val="both"/>
        <w:rPr>
          <w:rtl/>
        </w:rPr>
      </w:pPr>
      <w:r>
        <w:rPr>
          <w:rFonts w:hint="cs"/>
          <w:rtl/>
        </w:rPr>
        <w:t>בו ביום, נחתמה פסיקתה בהתאם לחוק לחלוקת חיסכון פנסיוני בין בני זוג שנפרדו, התשע"ד–2014 (להלן: "</w:t>
      </w:r>
      <w:r>
        <w:rPr>
          <w:rFonts w:hint="cs"/>
          <w:b/>
          <w:bCs/>
          <w:rtl/>
        </w:rPr>
        <w:t>הפסיקתה</w:t>
      </w:r>
      <w:r>
        <w:rPr>
          <w:rFonts w:hint="cs"/>
          <w:rtl/>
        </w:rPr>
        <w:t xml:space="preserve">") במסגרתה נקבע, בין היתר, כי על משרד החינוך/האוצר – אגף החשב הכללי – מנהלת הגמלאות (להלן: </w:t>
      </w:r>
      <w:r>
        <w:rPr>
          <w:rFonts w:hint="cs"/>
          <w:b/>
          <w:bCs/>
          <w:rtl/>
        </w:rPr>
        <w:t>"המשיבה"</w:t>
      </w:r>
      <w:r>
        <w:rPr>
          <w:rFonts w:hint="cs"/>
          <w:rtl/>
        </w:rPr>
        <w:t xml:space="preserve">) לרשום הערה בתיק החוסך לטובת המבקש כמפורט בפסיקתה, לפתוח בהליך לחלוקת חיסכון פנסיוני להעברת 50% מסכום הקצבה שתשולם לבעל הזכויות, לאחר ניכוי מס כחוק מדי חודש בחודשו, בכל מועד בו בעל הזכויות יקבל את גמלתו מהמשיבה לאחר רישום פסק הדין, ולהוסיף את המבקש כשאיר בקופה על שם החוסכת בהתאם לחלוקה כאמור לעיל. </w:t>
      </w:r>
    </w:p>
    <w:p w:rsidR="00AC4A32" w:rsidRDefault="00AC4A32" w:rsidP="00AC4A32">
      <w:pPr>
        <w:spacing w:line="360" w:lineRule="auto"/>
        <w:jc w:val="both"/>
        <w:rPr>
          <w:rtl/>
        </w:rPr>
      </w:pPr>
    </w:p>
    <w:p w:rsidR="00AC4A32" w:rsidRDefault="00AC4A32" w:rsidP="00AC4A32">
      <w:pPr>
        <w:spacing w:line="360" w:lineRule="auto"/>
        <w:jc w:val="both"/>
        <w:rPr>
          <w:rtl/>
        </w:rPr>
      </w:pPr>
      <w:r>
        <w:rPr>
          <w:rFonts w:hint="cs"/>
          <w:rtl/>
        </w:rPr>
        <w:t>ביום 21.8.23 הגיש המבקש בקשה על-פי פקודת ביזיון בית המשפט, בה עתר להטיל קנס ממשי על המשיבה בגין הפרת הוראות הפסיקתה – היא הבקשה שלפניי (להלן: "</w:t>
      </w:r>
      <w:r>
        <w:rPr>
          <w:rFonts w:hint="cs"/>
          <w:b/>
          <w:bCs/>
          <w:rtl/>
        </w:rPr>
        <w:t>הבקשה</w:t>
      </w:r>
      <w:r>
        <w:rPr>
          <w:rFonts w:hint="cs"/>
          <w:rtl/>
        </w:rPr>
        <w:t>").</w:t>
      </w:r>
    </w:p>
    <w:p w:rsidR="00AC4A32" w:rsidRDefault="00AC4A32" w:rsidP="00AC4A32">
      <w:pPr>
        <w:spacing w:line="360" w:lineRule="auto"/>
        <w:jc w:val="both"/>
        <w:rPr>
          <w:rtl/>
        </w:rPr>
      </w:pPr>
      <w:r>
        <w:rPr>
          <w:rFonts w:hint="cs"/>
          <w:rtl/>
        </w:rPr>
        <w:t xml:space="preserve">הבקשה הועברה לתגובת המשיבה. </w:t>
      </w:r>
    </w:p>
    <w:p w:rsidR="00AC4A32" w:rsidRDefault="00AC4A32" w:rsidP="00AC4A32">
      <w:pPr>
        <w:spacing w:line="360" w:lineRule="auto"/>
        <w:jc w:val="both"/>
        <w:rPr>
          <w:rtl/>
        </w:rPr>
      </w:pPr>
    </w:p>
    <w:p w:rsidR="00AC4A32" w:rsidRDefault="00AC4A32" w:rsidP="00AC4A32">
      <w:pPr>
        <w:spacing w:line="360" w:lineRule="auto"/>
        <w:jc w:val="both"/>
        <w:rPr>
          <w:rtl/>
        </w:rPr>
      </w:pPr>
      <w:r>
        <w:rPr>
          <w:rFonts w:hint="cs"/>
          <w:rtl/>
        </w:rPr>
        <w:t>ביום 27.9.23 המבקש הגיש בקשה למתן החלטה אליה צירף אישור מסירה למשיבה.</w:t>
      </w:r>
    </w:p>
    <w:p w:rsidR="00AC4A32" w:rsidRDefault="00AC4A32" w:rsidP="00AC4A32">
      <w:pPr>
        <w:spacing w:line="360" w:lineRule="auto"/>
        <w:jc w:val="both"/>
        <w:rPr>
          <w:rtl/>
        </w:rPr>
      </w:pPr>
    </w:p>
    <w:p w:rsidR="00AC4A32" w:rsidRDefault="00AC4A32" w:rsidP="00AC4A32">
      <w:pPr>
        <w:spacing w:line="360" w:lineRule="auto"/>
        <w:jc w:val="both"/>
        <w:rPr>
          <w:rtl/>
        </w:rPr>
      </w:pPr>
      <w:r>
        <w:rPr>
          <w:rFonts w:hint="cs"/>
          <w:rtl/>
        </w:rPr>
        <w:t>משהוכח כי בוצעה מסירה כדין למשיבה, ולא הוגשה תגובה מטעמה במועד, כמצוות ס' 6 (2) לפקודת ביזיון בית המשפט (להלן: "</w:t>
      </w:r>
      <w:r>
        <w:rPr>
          <w:rFonts w:hint="cs"/>
          <w:b/>
          <w:bCs/>
          <w:rtl/>
        </w:rPr>
        <w:t>הפקודה</w:t>
      </w:r>
      <w:r>
        <w:rPr>
          <w:rFonts w:hint="cs"/>
          <w:rtl/>
        </w:rPr>
        <w:t xml:space="preserve">") </w:t>
      </w:r>
      <w:r>
        <w:rPr>
          <w:rFonts w:hint="cs"/>
          <w:b/>
          <w:bCs/>
          <w:rtl/>
        </w:rPr>
        <w:t>ראו גם</w:t>
      </w:r>
      <w:r>
        <w:rPr>
          <w:rFonts w:hint="cs"/>
          <w:rtl/>
        </w:rPr>
        <w:t xml:space="preserve">: בש"פ 7049/23 </w:t>
      </w:r>
      <w:r>
        <w:rPr>
          <w:rFonts w:hint="cs"/>
          <w:b/>
          <w:bCs/>
          <w:rtl/>
        </w:rPr>
        <w:t>פלוני נ' פלונית</w:t>
      </w:r>
      <w:r>
        <w:rPr>
          <w:rFonts w:hint="cs"/>
          <w:rtl/>
        </w:rPr>
        <w:t xml:space="preserve"> (22.11.2023); בש"פ 8914/23 </w:t>
      </w:r>
      <w:r>
        <w:rPr>
          <w:rFonts w:hint="cs"/>
          <w:b/>
          <w:bCs/>
          <w:rtl/>
        </w:rPr>
        <w:t>פלונית נ' פלוני</w:t>
      </w:r>
      <w:r>
        <w:rPr>
          <w:rFonts w:hint="cs"/>
          <w:rtl/>
        </w:rPr>
        <w:t xml:space="preserve"> (18.2.2024), נקבע מועד לדיון ליום 25.10.23 אשר נדחה, תחילה בשל המצב הביטחוני, ומאוחר יותר בהסכמת הצדדים, ליום 22.1.24.</w:t>
      </w:r>
    </w:p>
    <w:p w:rsidR="00AC4A32" w:rsidRDefault="00AC4A32" w:rsidP="00AC4A32">
      <w:pPr>
        <w:spacing w:line="360" w:lineRule="auto"/>
        <w:jc w:val="both"/>
        <w:rPr>
          <w:rtl/>
        </w:rPr>
      </w:pPr>
    </w:p>
    <w:p w:rsidR="00AC4A32" w:rsidRDefault="00AC4A32" w:rsidP="00AC4A32">
      <w:pPr>
        <w:spacing w:line="360" w:lineRule="auto"/>
        <w:jc w:val="both"/>
        <w:rPr>
          <w:rtl/>
        </w:rPr>
      </w:pPr>
      <w:r>
        <w:rPr>
          <w:rFonts w:hint="cs"/>
          <w:rtl/>
        </w:rPr>
        <w:t>ביום 1.1.24 הגישה המשיבה בקשה לסילוק הבקשה על הסף (להלן: "</w:t>
      </w:r>
      <w:r>
        <w:rPr>
          <w:rFonts w:hint="cs"/>
          <w:b/>
          <w:bCs/>
          <w:rtl/>
        </w:rPr>
        <w:t>הבקשה לסילוק על הסף</w:t>
      </w:r>
      <w:r>
        <w:rPr>
          <w:rFonts w:hint="cs"/>
          <w:rtl/>
        </w:rPr>
        <w:t xml:space="preserve">") והמבקש נדרש להודיע האם לאור נימוקי הבקשה לסילוק על הסף, הוא עומד על הבקשה. </w:t>
      </w:r>
    </w:p>
    <w:p w:rsidR="00AC4A32" w:rsidRDefault="00AC4A32" w:rsidP="00AC4A32">
      <w:pPr>
        <w:spacing w:line="360" w:lineRule="auto"/>
        <w:jc w:val="both"/>
        <w:rPr>
          <w:rtl/>
        </w:rPr>
      </w:pPr>
    </w:p>
    <w:p w:rsidR="00AC4A32" w:rsidRDefault="00AC4A32" w:rsidP="00AC4A32">
      <w:pPr>
        <w:spacing w:line="360" w:lineRule="auto"/>
        <w:jc w:val="both"/>
        <w:rPr>
          <w:rtl/>
        </w:rPr>
      </w:pPr>
      <w:r>
        <w:rPr>
          <w:rFonts w:hint="cs"/>
          <w:rtl/>
        </w:rPr>
        <w:t>המבקש הודיע כי הוא עומד על בירור הבקשה וניתנה החלטה מיום 7.1.24 המורה למבקש להגיש תגובה לבקשה לסילוק על הסף.</w:t>
      </w:r>
    </w:p>
    <w:p w:rsidR="00AC4A32" w:rsidRDefault="00AC4A32" w:rsidP="00AC4A32">
      <w:pPr>
        <w:spacing w:line="360" w:lineRule="auto"/>
        <w:jc w:val="both"/>
        <w:rPr>
          <w:rtl/>
        </w:rPr>
      </w:pPr>
    </w:p>
    <w:p w:rsidR="00AC4A32" w:rsidRDefault="00AC4A32" w:rsidP="00AC4A32">
      <w:pPr>
        <w:spacing w:line="360" w:lineRule="auto"/>
        <w:jc w:val="both"/>
        <w:rPr>
          <w:rtl/>
        </w:rPr>
      </w:pPr>
      <w:r>
        <w:rPr>
          <w:rFonts w:hint="cs"/>
          <w:rtl/>
        </w:rPr>
        <w:t xml:space="preserve">בעקבות הגשת בקשה מוסכמת, הדיון נדחה ליום 12.2.24 ובעקבות הגשת בקשה מוסכמת נוספת, בגדרה הודיע המבקש כי יכול ויתייתר הצורך לקיים דיון בבקשה, הדיון בוטל. </w:t>
      </w:r>
    </w:p>
    <w:p w:rsidR="00AC4A32" w:rsidRDefault="00AC4A32" w:rsidP="00AC4A32">
      <w:pPr>
        <w:spacing w:line="360" w:lineRule="auto"/>
        <w:jc w:val="both"/>
        <w:rPr>
          <w:rtl/>
        </w:rPr>
      </w:pPr>
    </w:p>
    <w:p w:rsidR="00AC4A32" w:rsidRDefault="00AC4A32" w:rsidP="00AC4A32">
      <w:pPr>
        <w:spacing w:line="360" w:lineRule="auto"/>
        <w:jc w:val="both"/>
        <w:rPr>
          <w:rtl/>
        </w:rPr>
      </w:pPr>
      <w:r>
        <w:rPr>
          <w:rFonts w:hint="cs"/>
          <w:rtl/>
        </w:rPr>
        <w:t>ביום 20.6.24 המשיבה הגישה בקשה למתן החלטה בבקשה לסילוק על הסף. בו ביום ניתנה החלטה, בה נקבע, בין היתר, כי בשים לב למועד הגשת הבקשה (21.8.23) יודיע המבקש האם הוא עומד על בירורה. המבקש הודיע כי הוא עומד על בירור הבקשה, ומכאן הצורך במתן החלטה זו.</w:t>
      </w:r>
    </w:p>
    <w:p w:rsidR="00AC4A32" w:rsidRDefault="00AC4A32" w:rsidP="00AC4A32">
      <w:pPr>
        <w:spacing w:line="360" w:lineRule="auto"/>
        <w:jc w:val="both"/>
        <w:rPr>
          <w:rtl/>
        </w:rPr>
      </w:pPr>
    </w:p>
    <w:p w:rsidR="00AC4A32" w:rsidRDefault="00AC4A32" w:rsidP="00AC4A32">
      <w:pPr>
        <w:spacing w:line="360" w:lineRule="auto"/>
        <w:jc w:val="both"/>
        <w:rPr>
          <w:b/>
          <w:bCs/>
          <w:u w:val="single"/>
          <w:rtl/>
        </w:rPr>
      </w:pPr>
      <w:r>
        <w:rPr>
          <w:rFonts w:hint="cs"/>
          <w:b/>
          <w:bCs/>
          <w:u w:val="single"/>
          <w:rtl/>
        </w:rPr>
        <w:t xml:space="preserve">הכרעה </w:t>
      </w:r>
    </w:p>
    <w:p w:rsidR="00AC4A32" w:rsidRDefault="00AC4A32" w:rsidP="00AC4A32">
      <w:pPr>
        <w:spacing w:line="360" w:lineRule="auto"/>
        <w:jc w:val="both"/>
        <w:rPr>
          <w:rtl/>
        </w:rPr>
      </w:pPr>
    </w:p>
    <w:p w:rsidR="00AC4A32" w:rsidRDefault="00AC4A32" w:rsidP="00AC4A32">
      <w:pPr>
        <w:spacing w:line="360" w:lineRule="auto"/>
        <w:jc w:val="both"/>
        <w:rPr>
          <w:rtl/>
        </w:rPr>
      </w:pPr>
      <w:r>
        <w:rPr>
          <w:rFonts w:hint="cs"/>
          <w:rtl/>
        </w:rPr>
        <w:t>על אף שנטען על-ידי המשיבה במסגרת בקשתה למתן החלטה כי הבקשה לא הומצאה לה, נוכח קביעתי בהחלטה מיום 27.9.23 אשר לפיה הוכח לפניי כי בוצעה מסירה כדין למשיבה, אתייחס לבקשה בהיעדר תגובה.</w:t>
      </w:r>
    </w:p>
    <w:p w:rsidR="00AC4A32" w:rsidRDefault="00AC4A32" w:rsidP="00AC4A32">
      <w:pPr>
        <w:spacing w:line="360" w:lineRule="auto"/>
        <w:jc w:val="both"/>
        <w:rPr>
          <w:rtl/>
        </w:rPr>
      </w:pPr>
    </w:p>
    <w:p w:rsidR="00AC4A32" w:rsidRDefault="00AC4A32" w:rsidP="00AC4A32">
      <w:pPr>
        <w:spacing w:line="360" w:lineRule="auto"/>
        <w:jc w:val="both"/>
        <w:rPr>
          <w:rtl/>
        </w:rPr>
      </w:pPr>
      <w:r>
        <w:rPr>
          <w:rFonts w:hint="cs"/>
          <w:rtl/>
        </w:rPr>
        <w:t>לאחר עיון בבקשה, הגעתי למסקנה כי דינה להידחות.</w:t>
      </w:r>
    </w:p>
    <w:p w:rsidR="00AC4A32" w:rsidRDefault="00AC4A32" w:rsidP="00AC4A32">
      <w:pPr>
        <w:spacing w:line="360" w:lineRule="auto"/>
        <w:jc w:val="both"/>
        <w:rPr>
          <w:rtl/>
        </w:rPr>
      </w:pPr>
    </w:p>
    <w:p w:rsidR="00AC4A32" w:rsidRDefault="00AC4A32" w:rsidP="00AC4A32">
      <w:pPr>
        <w:spacing w:line="360" w:lineRule="auto"/>
        <w:jc w:val="both"/>
        <w:rPr>
          <w:rtl/>
        </w:rPr>
      </w:pPr>
      <w:r>
        <w:rPr>
          <w:rFonts w:hint="cs"/>
          <w:rtl/>
        </w:rPr>
        <w:t xml:space="preserve">אין מחלוקת כי המשיבה לא הייתה צד להסכם. </w:t>
      </w:r>
    </w:p>
    <w:p w:rsidR="00AC4A32" w:rsidRDefault="00AC4A32" w:rsidP="00AC4A32">
      <w:pPr>
        <w:spacing w:line="360" w:lineRule="auto"/>
        <w:jc w:val="both"/>
        <w:rPr>
          <w:rtl/>
        </w:rPr>
      </w:pPr>
    </w:p>
    <w:p w:rsidR="00AC4A32" w:rsidRDefault="00AC4A32" w:rsidP="00AC4A32">
      <w:pPr>
        <w:spacing w:line="360" w:lineRule="auto"/>
        <w:jc w:val="both"/>
        <w:rPr>
          <w:rtl/>
        </w:rPr>
      </w:pPr>
      <w:r w:rsidRPr="009D4C91">
        <w:rPr>
          <w:rFonts w:hint="cs"/>
          <w:rtl/>
        </w:rPr>
        <w:t>במישור העקרוני, כאשר הנסיבות מחייבות זאת, ניתן ליתן צו לפי ה</w:t>
      </w:r>
      <w:r w:rsidRPr="004C4BE4">
        <w:rPr>
          <w:rFonts w:hint="cs"/>
          <w:rtl/>
        </w:rPr>
        <w:t>פקודה</w:t>
      </w:r>
      <w:r w:rsidRPr="009D4C91">
        <w:rPr>
          <w:rtl/>
        </w:rPr>
        <w:t xml:space="preserve"> </w:t>
      </w:r>
      <w:r w:rsidRPr="009D4C91">
        <w:rPr>
          <w:rFonts w:hint="cs"/>
          <w:rtl/>
        </w:rPr>
        <w:t xml:space="preserve">כלפי "גורם זר" להליך </w:t>
      </w:r>
      <w:r>
        <w:rPr>
          <w:rFonts w:hint="cs"/>
          <w:rtl/>
        </w:rPr>
        <w:t xml:space="preserve">העיקרי שלא היה בעל דין בו </w:t>
      </w:r>
      <w:r>
        <w:rPr>
          <w:rFonts w:hint="cs"/>
          <w:b/>
          <w:bCs/>
          <w:rtl/>
        </w:rPr>
        <w:t>ראו</w:t>
      </w:r>
      <w:r>
        <w:rPr>
          <w:rFonts w:hint="cs"/>
          <w:rtl/>
        </w:rPr>
        <w:t xml:space="preserve">: ע"א 371/78 </w:t>
      </w:r>
      <w:r>
        <w:rPr>
          <w:rFonts w:hint="cs"/>
          <w:b/>
          <w:bCs/>
          <w:rtl/>
        </w:rPr>
        <w:t xml:space="preserve">מוניות הדר לוד בע"מ נ' ביטון, </w:t>
      </w:r>
      <w:r>
        <w:rPr>
          <w:rFonts w:hint="cs"/>
          <w:rtl/>
        </w:rPr>
        <w:t>פ"ד לד(4) 232 (1980).</w:t>
      </w:r>
    </w:p>
    <w:p w:rsidR="00AC4A32" w:rsidRDefault="00AC4A32" w:rsidP="00AC4A32">
      <w:pPr>
        <w:spacing w:line="360" w:lineRule="auto"/>
        <w:jc w:val="both"/>
        <w:rPr>
          <w:rtl/>
        </w:rPr>
      </w:pPr>
      <w:r>
        <w:rPr>
          <w:rFonts w:hint="cs"/>
          <w:rtl/>
        </w:rPr>
        <w:lastRenderedPageBreak/>
        <w:t xml:space="preserve">נפסק כי לעתים האפשרות להטיל אחריות גם על גורם "זר", אשר התנהגותו מביאה להפרת הוראה שיפוטית, הינה אף רצויה ונכונה מבחינת מדיניות משפטית </w:t>
      </w:r>
      <w:r>
        <w:rPr>
          <w:rFonts w:hint="cs"/>
          <w:b/>
          <w:bCs/>
          <w:rtl/>
        </w:rPr>
        <w:t>ראו</w:t>
      </w:r>
      <w:r>
        <w:rPr>
          <w:rFonts w:hint="cs"/>
          <w:rtl/>
        </w:rPr>
        <w:t xml:space="preserve">: בש"פ 1478/20 </w:t>
      </w:r>
      <w:r>
        <w:rPr>
          <w:rFonts w:hint="cs"/>
          <w:b/>
          <w:bCs/>
          <w:rtl/>
        </w:rPr>
        <w:t>פלוני נ' בית הדין הרבני</w:t>
      </w:r>
      <w:r>
        <w:rPr>
          <w:rFonts w:hint="cs"/>
          <w:rtl/>
        </w:rPr>
        <w:t xml:space="preserve"> (5.5.2020).</w:t>
      </w:r>
    </w:p>
    <w:p w:rsidR="00AC4A32" w:rsidRDefault="00AC4A32" w:rsidP="00AC4A32">
      <w:pPr>
        <w:spacing w:line="360" w:lineRule="auto"/>
        <w:jc w:val="both"/>
        <w:rPr>
          <w:rtl/>
        </w:rPr>
      </w:pPr>
    </w:p>
    <w:p w:rsidR="00AC4A32" w:rsidRDefault="00AC4A32" w:rsidP="00AC4A32">
      <w:pPr>
        <w:spacing w:line="360" w:lineRule="auto"/>
        <w:jc w:val="both"/>
        <w:rPr>
          <w:rtl/>
        </w:rPr>
      </w:pPr>
      <w:r>
        <w:rPr>
          <w:rFonts w:hint="cs"/>
          <w:rtl/>
        </w:rPr>
        <w:t xml:space="preserve">יחד עם זאת, במקרה שלפניי, לא מצאתי מקום להטיל על המשיבה סנקציות הקבועות בפקודה. </w:t>
      </w:r>
    </w:p>
    <w:p w:rsidR="00AC4A32" w:rsidRDefault="00AC4A32" w:rsidP="00AC4A32">
      <w:pPr>
        <w:spacing w:line="360" w:lineRule="auto"/>
        <w:jc w:val="both"/>
        <w:rPr>
          <w:rtl/>
        </w:rPr>
      </w:pPr>
    </w:p>
    <w:p w:rsidR="00AC4A32" w:rsidRDefault="00AC4A32" w:rsidP="00AC4A32">
      <w:pPr>
        <w:spacing w:line="360" w:lineRule="auto"/>
        <w:jc w:val="both"/>
        <w:rPr>
          <w:rtl/>
        </w:rPr>
      </w:pPr>
      <w:r>
        <w:rPr>
          <w:rFonts w:hint="cs"/>
          <w:rtl/>
        </w:rPr>
        <w:t xml:space="preserve">המשיבה לא הייתה כאמור צד להסכם ולא נכחה בדיון שהתקיים ביום 6.2.22 בו אושר ההסכם ונחתמה הפסיקתה. מטעם זה, כאשר ביקשו הצדדים כי תיחתם הפסיקתה </w:t>
      </w:r>
      <w:r>
        <w:rPr>
          <w:rFonts w:hint="cs"/>
          <w:b/>
          <w:bCs/>
          <w:rtl/>
        </w:rPr>
        <w:t>ראו: ס' 28 להסכם</w:t>
      </w:r>
      <w:r>
        <w:rPr>
          <w:rFonts w:hint="cs"/>
          <w:rtl/>
        </w:rPr>
        <w:t xml:space="preserve">, לנוכח הכלל לפיו אין ליתן פסק דין הפוגע באינטרסים ממשיים של אדם או גוף שעמדתו לא נשמעה בבית המשפט </w:t>
      </w:r>
      <w:r>
        <w:rPr>
          <w:rFonts w:hint="cs"/>
          <w:b/>
          <w:bCs/>
          <w:rtl/>
        </w:rPr>
        <w:t>ראו</w:t>
      </w:r>
      <w:r>
        <w:rPr>
          <w:rFonts w:hint="cs"/>
          <w:rtl/>
        </w:rPr>
        <w:t xml:space="preserve">: עמ"ש 26944-10-17 </w:t>
      </w:r>
      <w:r>
        <w:rPr>
          <w:rFonts w:hint="cs"/>
          <w:b/>
          <w:bCs/>
          <w:rtl/>
        </w:rPr>
        <w:t>ר.כ. נ' א.כ.</w:t>
      </w:r>
      <w:r>
        <w:rPr>
          <w:rFonts w:hint="cs"/>
          <w:rtl/>
        </w:rPr>
        <w:t xml:space="preserve"> (27.3.2018) נקבע בפסק הדין, ברחל בתך הקטנה כי "</w:t>
      </w:r>
      <w:r>
        <w:rPr>
          <w:rFonts w:hint="cs"/>
          <w:b/>
          <w:bCs/>
          <w:u w:val="single"/>
          <w:rtl/>
        </w:rPr>
        <w:t xml:space="preserve">אישור ההסכם כפוף להוראות כל דין ואיננו מחייב צדדים שלישיים שאינם צד להסכם זה" </w:t>
      </w:r>
      <w:r>
        <w:rPr>
          <w:rFonts w:hint="cs"/>
          <w:rtl/>
        </w:rPr>
        <w:t xml:space="preserve">[ההגדשה במקור – פ"ג.] </w:t>
      </w:r>
      <w:r>
        <w:rPr>
          <w:rFonts w:hint="cs"/>
          <w:b/>
          <w:bCs/>
          <w:rtl/>
        </w:rPr>
        <w:t>ראו: עמ' 17 ש' 2</w:t>
      </w:r>
      <w:r>
        <w:rPr>
          <w:rFonts w:hint="cs"/>
          <w:rtl/>
        </w:rPr>
        <w:t xml:space="preserve"> </w:t>
      </w:r>
      <w:r>
        <w:rPr>
          <w:rFonts w:hint="cs"/>
          <w:b/>
          <w:bCs/>
          <w:rtl/>
        </w:rPr>
        <w:t>לפסק הדין</w:t>
      </w:r>
      <w:r>
        <w:rPr>
          <w:rFonts w:hint="cs"/>
          <w:rtl/>
        </w:rPr>
        <w:t>.</w:t>
      </w:r>
    </w:p>
    <w:p w:rsidR="00AC4A32" w:rsidRDefault="00AC4A32" w:rsidP="00AC4A32">
      <w:pPr>
        <w:spacing w:line="360" w:lineRule="auto"/>
        <w:jc w:val="both"/>
        <w:rPr>
          <w:rtl/>
        </w:rPr>
      </w:pPr>
    </w:p>
    <w:p w:rsidR="00AC4A32" w:rsidRDefault="00AC4A32" w:rsidP="00AC4A32">
      <w:pPr>
        <w:spacing w:line="360" w:lineRule="auto"/>
        <w:jc w:val="both"/>
        <w:rPr>
          <w:rtl/>
        </w:rPr>
      </w:pPr>
      <w:r>
        <w:rPr>
          <w:rFonts w:hint="cs"/>
          <w:rtl/>
        </w:rPr>
        <w:t xml:space="preserve">פסיקתה היא תמצית החלטה שניתנה, המביאה את עיקרה של ההחלטה בלבד, דהיינו – הפסיקתה אינה ניצבת בפני עצמה, אלא היא לעולם טפלה להחלטה שיפוטית אחרת, ומבטאת את העיקר שבאותה החלטה </w:t>
      </w:r>
      <w:r>
        <w:rPr>
          <w:rFonts w:hint="cs"/>
          <w:b/>
          <w:bCs/>
          <w:rtl/>
        </w:rPr>
        <w:t>ראו</w:t>
      </w:r>
      <w:r>
        <w:rPr>
          <w:rFonts w:hint="cs"/>
          <w:rtl/>
        </w:rPr>
        <w:t xml:space="preserve">: רע"א 9002/23 </w:t>
      </w:r>
      <w:r>
        <w:rPr>
          <w:rFonts w:hint="cs"/>
          <w:b/>
          <w:bCs/>
          <w:rtl/>
        </w:rPr>
        <w:t>עזבון המנוח אבראהים מוסא חוסין עליאן נ' י.מ.י.א השקעות ונכסים בע"מ</w:t>
      </w:r>
      <w:r>
        <w:rPr>
          <w:rFonts w:hint="cs"/>
          <w:rtl/>
        </w:rPr>
        <w:t xml:space="preserve"> (9.4.2024).</w:t>
      </w:r>
    </w:p>
    <w:p w:rsidR="00AC4A32" w:rsidRDefault="00AC4A32" w:rsidP="00AC4A32">
      <w:pPr>
        <w:spacing w:line="360" w:lineRule="auto"/>
        <w:jc w:val="both"/>
        <w:rPr>
          <w:rtl/>
        </w:rPr>
      </w:pPr>
    </w:p>
    <w:p w:rsidR="00AC4A32" w:rsidRDefault="00AC4A32" w:rsidP="00AC4A32">
      <w:pPr>
        <w:spacing w:line="360" w:lineRule="auto"/>
        <w:jc w:val="both"/>
        <w:rPr>
          <w:rtl/>
        </w:rPr>
      </w:pPr>
      <w:r>
        <w:rPr>
          <w:rFonts w:hint="cs"/>
          <w:rtl/>
        </w:rPr>
        <w:t xml:space="preserve">בתוך כך, ככל שפסק הדין המאשר את ההסכם אינו מחייב צדדים שלישיים שאינם צד להסכם – וביניהם המשיבה – כך גם הפסיקתה איננה מחייבת את המשיבה והיא לא ביצעה כל הפרה שעה שלא פעלה על-פי הפסיקתה. </w:t>
      </w:r>
    </w:p>
    <w:p w:rsidR="00AC4A32" w:rsidRDefault="00AC4A32" w:rsidP="00AC4A32">
      <w:pPr>
        <w:spacing w:line="360" w:lineRule="auto"/>
        <w:jc w:val="both"/>
        <w:rPr>
          <w:rtl/>
        </w:rPr>
      </w:pPr>
    </w:p>
    <w:p w:rsidR="00AC4A32" w:rsidRDefault="00AC4A32" w:rsidP="00AC4A32">
      <w:pPr>
        <w:spacing w:line="360" w:lineRule="auto"/>
        <w:jc w:val="both"/>
        <w:rPr>
          <w:rtl/>
        </w:rPr>
      </w:pPr>
      <w:r>
        <w:rPr>
          <w:rFonts w:hint="cs"/>
          <w:rtl/>
        </w:rPr>
        <w:t xml:space="preserve">זאת ועוד, כעולה ממכתב המשיבה מיום 12.12.22 שצורף </w:t>
      </w:r>
      <w:r>
        <w:rPr>
          <w:rFonts w:hint="cs"/>
          <w:b/>
          <w:bCs/>
          <w:rtl/>
        </w:rPr>
        <w:t>כנספח 2 לבקשה</w:t>
      </w:r>
      <w:r>
        <w:rPr>
          <w:rFonts w:hint="cs"/>
          <w:rtl/>
        </w:rPr>
        <w:t xml:space="preserve">, בקשת המבקש לקצבת שאירים בגין המנוחה, לפי ס' 50 לחוק שירות המדינה (גמלאות) [נוסח משולב], התש"ל–1970, החל גם על קצבת שאירים לבן זוג לשעבר, הוגשה באיחור ומטעם זה הוחלט לדחות את הבקשה. המבקש לא הגיש ערעור על כך במועד וההחלטה הדוחה את הבקשה הפכה לחלוטה. במצב דברים זה, כאשר נקבע בפסק הדין כי אישור ההסכם כפוף להוראות כל דין, ולנוכח האמור במכתב המשיבה, הרי שהמשיבה לא ביצעה כל הפרה ואין מקום להטיל עליה סנקציה מכוח הפקודה. </w:t>
      </w:r>
    </w:p>
    <w:p w:rsidR="00AC4A32" w:rsidRDefault="00AC4A32" w:rsidP="00AC4A32">
      <w:pPr>
        <w:spacing w:line="360" w:lineRule="auto"/>
        <w:jc w:val="both"/>
        <w:rPr>
          <w:rtl/>
        </w:rPr>
      </w:pPr>
    </w:p>
    <w:p w:rsidR="00AC4A32" w:rsidRDefault="00AC4A32" w:rsidP="00AC4A32">
      <w:pPr>
        <w:spacing w:line="360" w:lineRule="auto"/>
        <w:jc w:val="both"/>
        <w:rPr>
          <w:rtl/>
        </w:rPr>
      </w:pPr>
      <w:r>
        <w:rPr>
          <w:rFonts w:hint="cs"/>
          <w:rtl/>
        </w:rPr>
        <w:t>לאור האמור, הבקשה נדחית.</w:t>
      </w:r>
    </w:p>
    <w:p w:rsidR="00AC4A32" w:rsidRDefault="00AC4A32" w:rsidP="00AC4A32">
      <w:pPr>
        <w:spacing w:line="360" w:lineRule="auto"/>
        <w:jc w:val="both"/>
        <w:rPr>
          <w:rtl/>
        </w:rPr>
      </w:pPr>
    </w:p>
    <w:p w:rsidR="00AC4A32" w:rsidRDefault="00AC4A32" w:rsidP="00AC4A32">
      <w:pPr>
        <w:spacing w:line="360" w:lineRule="auto"/>
        <w:jc w:val="both"/>
        <w:rPr>
          <w:rtl/>
        </w:rPr>
      </w:pPr>
      <w:r>
        <w:rPr>
          <w:rFonts w:hint="cs"/>
          <w:rtl/>
        </w:rPr>
        <w:t>כפועל יוצא מדחיית הבקשה, מתייתר הצורך לדון ולהכריע בבקשת המשיבה לסילוק על הסף.</w:t>
      </w:r>
    </w:p>
    <w:p w:rsidR="00AC4A32" w:rsidRDefault="00AC4A32" w:rsidP="00AC4A32">
      <w:pPr>
        <w:spacing w:line="360" w:lineRule="auto"/>
        <w:jc w:val="both"/>
        <w:rPr>
          <w:rtl/>
        </w:rPr>
      </w:pPr>
    </w:p>
    <w:p w:rsidR="00AC4A32" w:rsidRDefault="00AC4A32" w:rsidP="00AC4A32">
      <w:pPr>
        <w:spacing w:line="360" w:lineRule="auto"/>
        <w:jc w:val="both"/>
        <w:rPr>
          <w:rtl/>
        </w:rPr>
      </w:pPr>
    </w:p>
    <w:p w:rsidR="00AC4A32" w:rsidRDefault="00AC4A32" w:rsidP="00AC4A32">
      <w:pPr>
        <w:spacing w:line="360" w:lineRule="auto"/>
        <w:jc w:val="both"/>
        <w:rPr>
          <w:rtl/>
        </w:rPr>
      </w:pPr>
      <w:r>
        <w:rPr>
          <w:rFonts w:hint="cs"/>
          <w:rtl/>
        </w:rPr>
        <w:lastRenderedPageBreak/>
        <w:t>משלא הוגשה תגובת המשיבה, איני עושה צו להוצאות.</w:t>
      </w:r>
    </w:p>
    <w:p w:rsidR="00AC4A32" w:rsidRDefault="00AC4A32" w:rsidP="00AC4A32">
      <w:pPr>
        <w:spacing w:line="360" w:lineRule="auto"/>
        <w:jc w:val="both"/>
        <w:rPr>
          <w:b/>
          <w:bCs/>
          <w:rtl/>
        </w:rPr>
      </w:pPr>
    </w:p>
    <w:p w:rsidR="00AC4A32" w:rsidRDefault="00DC050E" w:rsidP="00AC4A32">
      <w:pPr>
        <w:spacing w:line="360" w:lineRule="auto"/>
        <w:jc w:val="both"/>
        <w:rPr>
          <w:rtl/>
        </w:rPr>
      </w:pPr>
      <w:r w:rsidRPr="00DC050E">
        <w:rPr>
          <w:rFonts w:hint="cs"/>
          <w:rtl/>
        </w:rPr>
        <w:t xml:space="preserve">אני מתיר את פרסום ההחלטה </w:t>
      </w:r>
      <w:r w:rsidRPr="00DC050E">
        <w:rPr>
          <w:rFonts w:ascii="David" w:hAnsi="David" w:hint="cs"/>
          <w:rtl/>
        </w:rPr>
        <w:t>לאחר</w:t>
      </w:r>
      <w:r w:rsidRPr="00C20353">
        <w:rPr>
          <w:rFonts w:ascii="David" w:hAnsi="David" w:hint="cs"/>
          <w:rtl/>
        </w:rPr>
        <w:t xml:space="preserve"> השמטת פרטים מזהים.</w:t>
      </w:r>
    </w:p>
    <w:p w:rsidR="00AC4A32" w:rsidRDefault="00AC4A32" w:rsidP="00AC4A32">
      <w:pPr>
        <w:spacing w:line="360" w:lineRule="auto"/>
        <w:jc w:val="both"/>
        <w:rPr>
          <w:rtl/>
        </w:rPr>
      </w:pPr>
    </w:p>
    <w:p w:rsidR="00AC4A32" w:rsidRDefault="00AC4A32" w:rsidP="00AC4A32">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Pr>
          <w:rFonts w:ascii="Arial" w:hAnsi="Arial"/>
          <w:noProof w:val="0"/>
          <w:rtl/>
        </w:rPr>
        <w:t xml:space="preserve"> היום,  </w:t>
      </w:r>
      <w:sdt>
        <w:sdtPr>
          <w:rPr>
            <w:rtl/>
          </w:rPr>
          <w:alias w:val="1455"/>
          <w:tag w:val="1455"/>
          <w:id w:val="1321697131"/>
          <w:text w:multiLine="1"/>
        </w:sdtPr>
        <w:sdtEndPr/>
        <w:sdtContent>
          <w:r>
            <w:rPr>
              <w:rFonts w:ascii="Arial" w:hAnsi="Arial"/>
              <w:noProof w:val="0"/>
              <w:rtl/>
            </w:rPr>
            <w:t>ד' תמוז תשפ"ד</w:t>
          </w:r>
        </w:sdtContent>
      </w:sdt>
      <w:r>
        <w:rPr>
          <w:rFonts w:ascii="Arial" w:hAnsi="Arial"/>
          <w:noProof w:val="0"/>
          <w:rtl/>
        </w:rPr>
        <w:t xml:space="preserve">, </w:t>
      </w:r>
      <w:sdt>
        <w:sdtPr>
          <w:rPr>
            <w:rtl/>
          </w:rPr>
          <w:alias w:val="1456"/>
          <w:tag w:val="1456"/>
          <w:id w:val="1987278298"/>
          <w:text w:multiLine="1"/>
        </w:sdtPr>
        <w:sdtEndPr/>
        <w:sdtContent>
          <w:r>
            <w:rPr>
              <w:rFonts w:ascii="Arial" w:hAnsi="Arial"/>
              <w:noProof w:val="0"/>
              <w:rtl/>
            </w:rPr>
            <w:t>10 יולי 2024</w:t>
          </w:r>
        </w:sdtContent>
      </w:sdt>
      <w:r>
        <w:rPr>
          <w:rFonts w:ascii="Arial" w:hAnsi="Arial"/>
          <w:noProof w:val="0"/>
          <w:rtl/>
        </w:rPr>
        <w:t>, בהעדר הצדדים.</w:t>
      </w:r>
    </w:p>
    <w:p w:rsidR="00AC4A32" w:rsidRDefault="00AC4A32" w:rsidP="00AC4A32">
      <w:pPr>
        <w:spacing w:line="360" w:lineRule="auto"/>
        <w:jc w:val="center"/>
        <w:rPr>
          <w:rFonts w:ascii="Arial" w:hAnsi="Arial"/>
          <w:noProof w:val="0"/>
          <w:rtl/>
        </w:rPr>
      </w:pPr>
    </w:p>
    <w:p w:rsidR="00AC4A32" w:rsidRDefault="00AC4A32" w:rsidP="00AC4A32">
      <w:pPr>
        <w:spacing w:line="360" w:lineRule="auto"/>
        <w:jc w:val="center"/>
      </w:pPr>
      <w:r>
        <w:rPr>
          <w:rFonts w:ascii="Arial" w:hAnsi="Arial"/>
          <w:noProof w:val="0"/>
          <w:rtl/>
        </w:rPr>
        <w:tab/>
      </w:r>
      <w:r>
        <w:rPr>
          <w:rFonts w:ascii="Arial" w:hAnsi="Arial"/>
          <w:noProof w:val="0"/>
          <w:rtl/>
        </w:rPr>
        <w:tab/>
      </w:r>
      <w:sdt>
        <w:sdtPr>
          <w:rPr>
            <w:rtl/>
          </w:rPr>
          <w:alias w:val="MergeField"/>
          <w:tag w:val="1237"/>
          <w:id w:val="-2097780965"/>
        </w:sdtPr>
        <w:sdtEndPr/>
        <w:sdtContent>
          <w:r>
            <w:drawing>
              <wp:inline distT="0" distB="0" distL="0" distR="0" wp14:anchorId="01096BB7" wp14:editId="6175FDC1">
                <wp:extent cx="1828800" cy="7334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6" cstate="print">
                          <a:extLst/>
                        </a:blip>
                        <a:stretch>
                          <a:fillRect/>
                        </a:stretch>
                      </pic:blipFill>
                      <pic:spPr>
                        <a:xfrm>
                          <a:off x="0" y="0"/>
                          <a:ext cx="1828800" cy="733425"/>
                        </a:xfrm>
                        <a:prstGeom prst="rect">
                          <a:avLst/>
                        </a:prstGeom>
                      </pic:spPr>
                    </pic:pic>
                  </a:graphicData>
                </a:graphic>
              </wp:inline>
            </w:drawing>
          </w:r>
        </w:sdtContent>
      </w:sdt>
    </w:p>
    <w:p w:rsidR="00AC4A32" w:rsidRDefault="00AC4A32" w:rsidP="00AC4A32">
      <w:pPr>
        <w:spacing w:line="360" w:lineRule="auto"/>
        <w:jc w:val="center"/>
        <w:rPr>
          <w:rFonts w:ascii="Arial" w:hAnsi="Arial"/>
          <w:noProof w:val="0"/>
          <w:rtl/>
        </w:rPr>
      </w:pPr>
    </w:p>
    <w:p w:rsidR="00AC4A32" w:rsidRDefault="00AC4A32" w:rsidP="00AC4A32">
      <w:pPr>
        <w:spacing w:line="360" w:lineRule="auto"/>
        <w:jc w:val="both"/>
        <w:rPr>
          <w:rFonts w:ascii="Arial" w:hAnsi="Arial"/>
          <w:noProof w:val="0"/>
          <w:rtl/>
        </w:rPr>
      </w:pPr>
    </w:p>
    <w:p w:rsidR="00AC4A32" w:rsidRDefault="00AC4A32" w:rsidP="00AC4A32">
      <w:pPr>
        <w:spacing w:line="360" w:lineRule="auto"/>
        <w:jc w:val="both"/>
        <w:rPr>
          <w:rFonts w:ascii="Arial" w:hAnsi="Arial"/>
          <w:noProof w:val="0"/>
          <w:rtl/>
        </w:rPr>
      </w:pPr>
    </w:p>
    <w:p w:rsidR="00AC4A32" w:rsidRDefault="00AC4A32" w:rsidP="00AC4A32">
      <w:pPr>
        <w:spacing w:line="360" w:lineRule="auto"/>
        <w:jc w:val="both"/>
        <w:rPr>
          <w:rFonts w:ascii="Arial" w:hAnsi="Arial"/>
          <w:noProof w:val="0"/>
          <w:rtl/>
        </w:rPr>
      </w:pPr>
    </w:p>
    <w:p w:rsidR="00AC4A32" w:rsidRDefault="00AC4A32" w:rsidP="00AC4A32">
      <w:pPr>
        <w:spacing w:line="360" w:lineRule="auto"/>
        <w:jc w:val="both"/>
        <w:rPr>
          <w:rFonts w:ascii="Arial" w:hAnsi="Arial"/>
          <w:noProof w:val="0"/>
          <w:rtl/>
        </w:rPr>
      </w:pPr>
    </w:p>
    <w:p w:rsidR="00AC4A32" w:rsidRDefault="00AC4A32" w:rsidP="00AC4A32">
      <w:pPr>
        <w:spacing w:line="360" w:lineRule="auto"/>
        <w:jc w:val="both"/>
        <w:rPr>
          <w:rFonts w:ascii="Arial" w:hAnsi="Arial"/>
          <w:noProof w:val="0"/>
          <w:rtl/>
        </w:rPr>
      </w:pPr>
    </w:p>
    <w:p w:rsidR="00F5450B" w:rsidRDefault="00F5450B"/>
    <w:sectPr w:rsidR="00F5450B" w:rsidSect="009D4C91">
      <w:headerReference w:type="even" r:id="rId7"/>
      <w:headerReference w:type="default" r:id="rId8"/>
      <w:footerReference w:type="even" r:id="rId9"/>
      <w:footerReference w:type="default" r:id="rId10"/>
      <w:headerReference w:type="first" r:id="rId11"/>
      <w:footerReference w:type="first" r:id="rId12"/>
      <w:pgSz w:w="11907" w:h="16840" w:code="9"/>
      <w:pgMar w:top="1701" w:right="1701" w:bottom="170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6E47" w:rsidRDefault="00526E47">
      <w:r>
        <w:separator/>
      </w:r>
    </w:p>
  </w:endnote>
  <w:endnote w:type="continuationSeparator" w:id="0">
    <w:p w:rsidR="00526E47" w:rsidRDefault="00526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3E78" w:rsidRDefault="00693E78">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AC4A32">
    <w:pPr>
      <w:pStyle w:val="a5"/>
      <w:jc w:val="center"/>
      <w:rPr>
        <w:rStyle w:val="a8"/>
      </w:rPr>
    </w:pPr>
    <w:r>
      <w:rPr>
        <w:rStyle w:val="a8"/>
      </w:rPr>
      <w:fldChar w:fldCharType="begin"/>
    </w:r>
    <w:r>
      <w:rPr>
        <w:rStyle w:val="a8"/>
      </w:rPr>
      <w:instrText xml:space="preserve"> PAGE </w:instrText>
    </w:r>
    <w:r>
      <w:rPr>
        <w:rStyle w:val="a8"/>
      </w:rPr>
      <w:fldChar w:fldCharType="separate"/>
    </w:r>
    <w:r w:rsidR="00693E78">
      <w:rPr>
        <w:rStyle w:val="a8"/>
        <w:rtl/>
      </w:rPr>
      <w:t>1</w:t>
    </w:r>
    <w:r>
      <w:rPr>
        <w:rStyle w:val="a8"/>
      </w:rPr>
      <w:fldChar w:fldCharType="end"/>
    </w:r>
    <w:r>
      <w:rPr>
        <w:rStyle w:val="a8"/>
        <w:rFonts w:hint="cs"/>
        <w:rtl/>
      </w:rPr>
      <w:t xml:space="preserve"> מתוך </w:t>
    </w:r>
    <w:r>
      <w:rPr>
        <w:rStyle w:val="a8"/>
      </w:rPr>
      <w:fldChar w:fldCharType="begin"/>
    </w:r>
    <w:r>
      <w:rPr>
        <w:rStyle w:val="a8"/>
      </w:rPr>
      <w:instrText xml:space="preserve"> NUMPAGES </w:instrText>
    </w:r>
    <w:r>
      <w:rPr>
        <w:rStyle w:val="a8"/>
      </w:rPr>
      <w:fldChar w:fldCharType="separate"/>
    </w:r>
    <w:r w:rsidR="00693E78">
      <w:rPr>
        <w:rStyle w:val="a8"/>
        <w:rtl/>
      </w:rPr>
      <w:t>4</w:t>
    </w:r>
    <w:r>
      <w:rPr>
        <w:rStyle w:val="a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3E78" w:rsidRDefault="00693E7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6E47" w:rsidRDefault="00526E47">
      <w:r>
        <w:separator/>
      </w:r>
    </w:p>
  </w:footnote>
  <w:footnote w:type="continuationSeparator" w:id="0">
    <w:p w:rsidR="00526E47" w:rsidRDefault="00526E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3E78" w:rsidRDefault="00693E7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AC4A32">
    <w:pPr>
      <w:pStyle w:val="a3"/>
      <w:jc w:val="center"/>
      <w:rPr>
        <w:rFonts w:cs="FrankRuehl"/>
        <w:noProof w:val="0"/>
        <w:sz w:val="28"/>
        <w:szCs w:val="28"/>
        <w:rtl/>
      </w:rPr>
    </w:pPr>
    <w:r>
      <w:rPr>
        <w:rFonts w:cs="FrankRuehl"/>
        <w:sz w:val="28"/>
        <w:szCs w:val="28"/>
      </w:rPr>
      <w:drawing>
        <wp:inline distT="0" distB="0" distL="0" distR="0" wp14:anchorId="006D0A7A" wp14:editId="72379DCB">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4"/>
      <w:gridCol w:w="3591"/>
    </w:tblGrid>
    <w:tr w:rsidR="002914D6">
      <w:trPr>
        <w:trHeight w:hRule="exact" w:val="418"/>
        <w:jc w:val="center"/>
      </w:trPr>
      <w:sdt>
        <w:sdtPr>
          <w:rPr>
            <w:rtl/>
          </w:rPr>
          <w:alias w:val="1174"/>
          <w:tag w:val="1174"/>
          <w:id w:val="-76207428"/>
          <w:text/>
        </w:sdtPr>
        <w:sdtEndPr/>
        <w:sdtContent>
          <w:tc>
            <w:tcPr>
              <w:tcW w:w="8721" w:type="dxa"/>
              <w:gridSpan w:val="2"/>
            </w:tcPr>
            <w:p w:rsidR="002914D6" w:rsidRDefault="00AC4A3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526E47">
          <w:pPr>
            <w:rPr>
              <w:b/>
              <w:bCs/>
              <w:noProof w:val="0"/>
              <w:sz w:val="26"/>
              <w:szCs w:val="26"/>
              <w:rtl/>
            </w:rPr>
          </w:pPr>
        </w:p>
      </w:tc>
      <w:sdt>
        <w:sdtPr>
          <w:rPr>
            <w:rtl/>
          </w:rPr>
          <w:alias w:val="1456"/>
          <w:tag w:val="1456"/>
          <w:id w:val="-1143425472"/>
          <w:text/>
        </w:sdtPr>
        <w:sdtEndPr/>
        <w:sdtContent>
          <w:tc>
            <w:tcPr>
              <w:tcW w:w="3674" w:type="dxa"/>
            </w:tcPr>
            <w:p w:rsidR="002914D6" w:rsidRDefault="00AC4A32">
              <w:pPr>
                <w:pStyle w:val="a3"/>
                <w:jc w:val="right"/>
                <w:rPr>
                  <w:b/>
                  <w:bCs/>
                  <w:noProof w:val="0"/>
                  <w:sz w:val="26"/>
                  <w:szCs w:val="26"/>
                  <w:rtl/>
                </w:rPr>
              </w:pPr>
              <w:r>
                <w:rPr>
                  <w:b/>
                  <w:bCs/>
                  <w:noProof w:val="0"/>
                  <w:sz w:val="26"/>
                  <w:szCs w:val="26"/>
                  <w:rtl/>
                </w:rPr>
                <w:t>10 יולי 2024</w:t>
              </w:r>
            </w:p>
          </w:tc>
        </w:sdtContent>
      </w:sdt>
    </w:tr>
    <w:tr w:rsidR="002914D6">
      <w:trPr>
        <w:trHeight w:val="337"/>
        <w:jc w:val="center"/>
      </w:trPr>
      <w:tc>
        <w:tcPr>
          <w:tcW w:w="8721" w:type="dxa"/>
          <w:gridSpan w:val="2"/>
        </w:tcPr>
        <w:p w:rsidR="002914D6" w:rsidRDefault="00526E47" w:rsidP="007A20E4">
          <w:pPr>
            <w:rPr>
              <w:b/>
              <w:bCs/>
              <w:noProof w:val="0"/>
              <w:sz w:val="26"/>
              <w:szCs w:val="26"/>
              <w:rtl/>
            </w:rPr>
          </w:pPr>
          <w:sdt>
            <w:sdtPr>
              <w:rPr>
                <w:rtl/>
              </w:rPr>
              <w:alias w:val="1170"/>
              <w:tag w:val="1170"/>
              <w:id w:val="632838173"/>
              <w:text w:multiLine="1"/>
            </w:sdtPr>
            <w:sdtEndPr/>
            <w:sdtContent>
              <w:r w:rsidR="00AC4A32">
                <w:rPr>
                  <w:b/>
                  <w:bCs/>
                  <w:noProof w:val="0"/>
                  <w:sz w:val="26"/>
                  <w:szCs w:val="26"/>
                  <w:rtl/>
                </w:rPr>
                <w:t>תלה"מ</w:t>
              </w:r>
            </w:sdtContent>
          </w:sdt>
          <w:r w:rsidR="00AC4A32">
            <w:rPr>
              <w:b/>
              <w:bCs/>
              <w:noProof w:val="0"/>
              <w:sz w:val="26"/>
              <w:szCs w:val="26"/>
              <w:rtl/>
            </w:rPr>
            <w:t xml:space="preserve"> </w:t>
          </w:r>
          <w:bookmarkStart w:id="0" w:name="_GoBack"/>
          <w:sdt>
            <w:sdtPr>
              <w:rPr>
                <w:rtl/>
              </w:rPr>
              <w:alias w:val="1171"/>
              <w:tag w:val="1171"/>
              <w:id w:val="-1684506308"/>
              <w:text w:multiLine="1"/>
            </w:sdtPr>
            <w:sdtEndPr/>
            <w:sdtContent>
              <w:r w:rsidR="00AC4A32">
                <w:rPr>
                  <w:b/>
                  <w:bCs/>
                  <w:noProof w:val="0"/>
                  <w:sz w:val="26"/>
                  <w:szCs w:val="26"/>
                  <w:rtl/>
                </w:rPr>
                <w:t>22033-11-16</w:t>
              </w:r>
            </w:sdtContent>
          </w:sdt>
          <w:bookmarkEnd w:id="0"/>
          <w:r w:rsidR="00AC4A32">
            <w:rPr>
              <w:b/>
              <w:bCs/>
              <w:noProof w:val="0"/>
              <w:sz w:val="26"/>
              <w:szCs w:val="26"/>
              <w:rtl/>
            </w:rPr>
            <w:t xml:space="preserve"> </w:t>
          </w:r>
          <w:sdt>
            <w:sdtPr>
              <w:rPr>
                <w:rtl/>
              </w:rPr>
              <w:alias w:val="1172"/>
              <w:tag w:val="1172"/>
              <w:id w:val="1484202908"/>
              <w:text w:multiLine="1"/>
            </w:sdtPr>
            <w:sdtEndPr/>
            <w:sdtContent>
              <w:r w:rsidR="007A20E4">
                <w:rPr>
                  <w:rFonts w:hint="cs"/>
                  <w:b/>
                  <w:bCs/>
                  <w:noProof w:val="0"/>
                  <w:sz w:val="26"/>
                  <w:szCs w:val="26"/>
                  <w:rtl/>
                </w:rPr>
                <w:t>פלוני</w:t>
              </w:r>
              <w:r w:rsidR="00AC4A32">
                <w:rPr>
                  <w:b/>
                  <w:bCs/>
                  <w:noProof w:val="0"/>
                  <w:sz w:val="26"/>
                  <w:szCs w:val="26"/>
                  <w:rtl/>
                </w:rPr>
                <w:t xml:space="preserve"> נ' </w:t>
              </w:r>
              <w:r w:rsidR="007A20E4">
                <w:rPr>
                  <w:rFonts w:hint="cs"/>
                  <w:b/>
                  <w:bCs/>
                  <w:noProof w:val="0"/>
                  <w:sz w:val="26"/>
                  <w:szCs w:val="26"/>
                  <w:rtl/>
                </w:rPr>
                <w:t>מנהלת הגמלאות</w:t>
              </w:r>
            </w:sdtContent>
          </w:sdt>
        </w:p>
        <w:p w:rsidR="002914D6" w:rsidRDefault="00526E47">
          <w:pPr>
            <w:rPr>
              <w:rtl/>
            </w:rPr>
          </w:pPr>
        </w:p>
        <w:p w:rsidR="00471FEB" w:rsidRDefault="00526E47">
          <w:pPr>
            <w:rPr>
              <w:rtl/>
            </w:rPr>
          </w:pPr>
        </w:p>
      </w:tc>
    </w:tr>
  </w:tbl>
  <w:p w:rsidR="002914D6" w:rsidRDefault="00AC4A3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3E78" w:rsidRDefault="00693E78">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4A32"/>
    <w:rsid w:val="004B460C"/>
    <w:rsid w:val="004C4BE4"/>
    <w:rsid w:val="00526E47"/>
    <w:rsid w:val="00693E78"/>
    <w:rsid w:val="007A20E4"/>
    <w:rsid w:val="00840D58"/>
    <w:rsid w:val="009F244E"/>
    <w:rsid w:val="00AC4A32"/>
    <w:rsid w:val="00CB37BD"/>
    <w:rsid w:val="00DC050E"/>
    <w:rsid w:val="00F5450B"/>
    <w:rsid w:val="00FA335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C38EC90-912B-4D55-8D69-D63A2DB03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4A32"/>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AC4A32"/>
    <w:pPr>
      <w:tabs>
        <w:tab w:val="center" w:pos="4153"/>
        <w:tab w:val="right" w:pos="8306"/>
      </w:tabs>
    </w:pPr>
  </w:style>
  <w:style w:type="character" w:customStyle="1" w:styleId="a4">
    <w:name w:val="כותרת עליונה תו"/>
    <w:basedOn w:val="a0"/>
    <w:link w:val="a3"/>
    <w:rsid w:val="00AC4A32"/>
    <w:rPr>
      <w:rFonts w:ascii="Times New Roman" w:eastAsia="Times New Roman" w:hAnsi="Times New Roman" w:cs="David"/>
      <w:noProof/>
      <w:sz w:val="24"/>
      <w:szCs w:val="24"/>
    </w:rPr>
  </w:style>
  <w:style w:type="paragraph" w:styleId="a5">
    <w:name w:val="footer"/>
    <w:basedOn w:val="a"/>
    <w:link w:val="a6"/>
    <w:rsid w:val="00AC4A32"/>
    <w:pPr>
      <w:tabs>
        <w:tab w:val="center" w:pos="4153"/>
        <w:tab w:val="right" w:pos="8306"/>
      </w:tabs>
    </w:pPr>
  </w:style>
  <w:style w:type="character" w:customStyle="1" w:styleId="a6">
    <w:name w:val="כותרת תחתונה תו"/>
    <w:basedOn w:val="a0"/>
    <w:link w:val="a5"/>
    <w:rsid w:val="00AC4A32"/>
    <w:rPr>
      <w:rFonts w:ascii="Times New Roman" w:eastAsia="Times New Roman" w:hAnsi="Times New Roman" w:cs="David"/>
      <w:noProof/>
      <w:sz w:val="24"/>
      <w:szCs w:val="24"/>
    </w:rPr>
  </w:style>
  <w:style w:type="table" w:styleId="a7">
    <w:name w:val="Table Grid"/>
    <w:basedOn w:val="a1"/>
    <w:rsid w:val="00AC4A32"/>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AC4A32"/>
  </w:style>
  <w:style w:type="table" w:styleId="a9">
    <w:name w:val="Grid Table Light"/>
    <w:basedOn w:val="a1"/>
    <w:uiPriority w:val="40"/>
    <w:rsid w:val="00AC4A32"/>
    <w:pPr>
      <w:spacing w:after="0" w:line="240" w:lineRule="auto"/>
    </w:pPr>
    <w:rPr>
      <w:rFonts w:ascii="Times New Roman" w:eastAsia="Times New Roman" w:hAnsi="Times New Roman" w:cs="Times New Roman"/>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yperlink">
    <w:name w:val="Hyperlink"/>
    <w:basedOn w:val="a0"/>
    <w:uiPriority w:val="99"/>
    <w:semiHidden/>
    <w:unhideWhenUsed/>
    <w:rsid w:val="00AC4A32"/>
    <w:rPr>
      <w:color w:val="0000FF"/>
      <w:u w:val="single"/>
    </w:rPr>
  </w:style>
  <w:style w:type="character" w:styleId="aa">
    <w:name w:val="line number"/>
    <w:basedOn w:val="a0"/>
    <w:uiPriority w:val="99"/>
    <w:semiHidden/>
    <w:unhideWhenUsed/>
    <w:rsid w:val="00AC4A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777</Words>
  <Characters>3890</Characters>
  <Application>Microsoft Office Word</Application>
  <DocSecurity>0</DocSecurity>
  <Lines>32</Lines>
  <Paragraphs>9</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4658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קרין סיידוף</dc:creator>
  <cp:keywords/>
  <dc:description/>
  <cp:lastModifiedBy>נעה בקר</cp:lastModifiedBy>
  <cp:revision>2</cp:revision>
  <dcterms:created xsi:type="dcterms:W3CDTF">2024-07-25T05:29:00Z</dcterms:created>
  <dcterms:modified xsi:type="dcterms:W3CDTF">2024-07-25T05:29:00Z</dcterms:modified>
</cp:coreProperties>
</file>